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8C92" w14:textId="6E95031A" w:rsidR="00710C6A" w:rsidRPr="003D7E92" w:rsidRDefault="00B22BED" w:rsidP="003D7E92">
      <w:pPr>
        <w:pStyle w:val="DocumentMap"/>
        <w:jc w:val="center"/>
        <w:rPr>
          <w:sz w:val="18"/>
          <w:szCs w:val="18"/>
        </w:rPr>
      </w:pPr>
      <w:r w:rsidRPr="003D7E92">
        <w:rPr>
          <w:sz w:val="28"/>
          <w:szCs w:val="28"/>
        </w:rPr>
        <w:t xml:space="preserve">Pressemitteilung </w:t>
      </w:r>
      <w:r w:rsidR="00173797" w:rsidRPr="003D7E92">
        <w:rPr>
          <w:sz w:val="28"/>
          <w:szCs w:val="28"/>
        </w:rPr>
        <w:t>von Goliathwatch</w:t>
      </w:r>
      <w:r w:rsidR="00BA419B">
        <w:rPr>
          <w:sz w:val="28"/>
          <w:szCs w:val="28"/>
        </w:rPr>
        <w:t xml:space="preserve"> </w:t>
      </w:r>
      <w:r w:rsidRPr="003D7E92">
        <w:rPr>
          <w:sz w:val="28"/>
          <w:szCs w:val="28"/>
        </w:rPr>
        <w:t xml:space="preserve">vom </w:t>
      </w:r>
      <w:r w:rsidR="000E4F9F">
        <w:rPr>
          <w:sz w:val="28"/>
          <w:szCs w:val="28"/>
        </w:rPr>
        <w:t>1</w:t>
      </w:r>
      <w:r w:rsidR="00BA419B">
        <w:rPr>
          <w:sz w:val="28"/>
          <w:szCs w:val="28"/>
        </w:rPr>
        <w:t xml:space="preserve">. </w:t>
      </w:r>
      <w:r w:rsidR="000E4F9F">
        <w:rPr>
          <w:sz w:val="28"/>
          <w:szCs w:val="28"/>
        </w:rPr>
        <w:t xml:space="preserve">März </w:t>
      </w:r>
      <w:r w:rsidR="00BA419B">
        <w:rPr>
          <w:sz w:val="28"/>
          <w:szCs w:val="28"/>
        </w:rPr>
        <w:t>2022</w:t>
      </w:r>
      <w:r w:rsidR="004C545F" w:rsidRPr="003D7E92">
        <w:rPr>
          <w:sz w:val="28"/>
          <w:szCs w:val="28"/>
        </w:rPr>
        <w:br/>
      </w:r>
    </w:p>
    <w:p w14:paraId="44DD234D" w14:textId="68AB61B6" w:rsidR="00710C6A" w:rsidRPr="000E4F9F" w:rsidRDefault="00BA419B">
      <w:pPr>
        <w:pStyle w:val="western"/>
        <w:spacing w:before="100" w:after="202"/>
        <w:jc w:val="center"/>
        <w:rPr>
          <w:rFonts w:ascii="Arial" w:hAnsi="Arial" w:cs="Arial"/>
          <w:b/>
          <w:bCs/>
          <w:sz w:val="36"/>
          <w:szCs w:val="36"/>
          <w:lang w:val="de-DE"/>
        </w:rPr>
      </w:pPr>
      <w:r w:rsidRPr="000E4F9F">
        <w:rPr>
          <w:rFonts w:ascii="Arial" w:hAnsi="Arial" w:cs="Arial"/>
          <w:b/>
          <w:bCs/>
          <w:sz w:val="36"/>
          <w:szCs w:val="36"/>
          <w:lang w:val="de-DE"/>
        </w:rPr>
        <w:t>Facebook sper</w:t>
      </w:r>
      <w:r w:rsidR="001864F4" w:rsidRPr="000E4F9F">
        <w:rPr>
          <w:rFonts w:ascii="Arial" w:hAnsi="Arial" w:cs="Arial"/>
          <w:b/>
          <w:bCs/>
          <w:sz w:val="36"/>
          <w:szCs w:val="36"/>
          <w:lang w:val="de-DE"/>
        </w:rPr>
        <w:t>r</w:t>
      </w:r>
      <w:r w:rsidRPr="000E4F9F">
        <w:rPr>
          <w:rFonts w:ascii="Arial" w:hAnsi="Arial" w:cs="Arial"/>
          <w:b/>
          <w:bCs/>
          <w:sz w:val="36"/>
          <w:szCs w:val="36"/>
          <w:lang w:val="de-DE"/>
        </w:rPr>
        <w:t>t Goliathwatch</w:t>
      </w:r>
      <w:r w:rsidR="000E4F9F" w:rsidRPr="000E4F9F">
        <w:rPr>
          <w:rFonts w:ascii="Arial" w:hAnsi="Arial" w:cs="Arial"/>
          <w:b/>
          <w:bCs/>
          <w:sz w:val="36"/>
          <w:szCs w:val="36"/>
          <w:lang w:val="de-DE"/>
        </w:rPr>
        <w:t xml:space="preserve"> – </w:t>
      </w:r>
      <w:r w:rsidR="000E4F9F">
        <w:rPr>
          <w:rFonts w:ascii="Arial" w:hAnsi="Arial" w:cs="Arial"/>
          <w:b/>
          <w:bCs/>
          <w:sz w:val="36"/>
          <w:szCs w:val="36"/>
          <w:lang w:val="de-DE"/>
        </w:rPr>
        <w:t>Anfragen der TAZ unbeantwortet</w:t>
      </w:r>
    </w:p>
    <w:p w14:paraId="72A02586" w14:textId="294EA653" w:rsidR="00710C6A" w:rsidRPr="00381CBA" w:rsidRDefault="00BA419B" w:rsidP="00784FAE">
      <w:pPr>
        <w:pStyle w:val="western"/>
        <w:spacing w:before="280" w:after="202" w:line="360" w:lineRule="auto"/>
        <w:jc w:val="center"/>
        <w:rPr>
          <w:rFonts w:ascii="Arial" w:hAnsi="Arial" w:cs="Arial"/>
        </w:rPr>
      </w:pPr>
      <w:r>
        <w:rPr>
          <w:rFonts w:ascii="Arial" w:hAnsi="Arial" w:cs="Arial"/>
          <w:b/>
          <w:bCs/>
          <w:sz w:val="24"/>
          <w:szCs w:val="24"/>
          <w:lang w:val="de-DE"/>
        </w:rPr>
        <w:t>Hamburger Nichtregierungsorganisation darf nicht mehr über Desinformation und Konzernmacht aufklären – Beweggründe von Facebook unklar</w:t>
      </w:r>
      <w:r w:rsidR="000E4F9F">
        <w:rPr>
          <w:rFonts w:ascii="Arial" w:hAnsi="Arial" w:cs="Arial"/>
          <w:b/>
          <w:bCs/>
          <w:sz w:val="24"/>
          <w:szCs w:val="24"/>
          <w:lang w:val="de-DE"/>
        </w:rPr>
        <w:t xml:space="preserve"> – Presseanfragen der TAZ unbeantwortet</w:t>
      </w:r>
    </w:p>
    <w:p w14:paraId="1BF475AB" w14:textId="4449B259" w:rsidR="000E4F9F" w:rsidRPr="001D065A" w:rsidRDefault="009D222F" w:rsidP="004536BC">
      <w:pPr>
        <w:pStyle w:val="western"/>
        <w:spacing w:before="100" w:after="202" w:line="360" w:lineRule="auto"/>
        <w:rPr>
          <w:rFonts w:ascii="Times New Roman" w:hAnsi="Times New Roman"/>
          <w:sz w:val="24"/>
          <w:szCs w:val="24"/>
          <w:lang w:val="de-DE"/>
        </w:rPr>
      </w:pPr>
      <w:r>
        <w:rPr>
          <w:rFonts w:ascii="Times New Roman" w:hAnsi="Times New Roman"/>
          <w:sz w:val="24"/>
          <w:szCs w:val="24"/>
          <w:lang w:val="de-DE"/>
        </w:rPr>
        <w:t>Hamburg</w:t>
      </w:r>
      <w:r w:rsidR="00281653">
        <w:rPr>
          <w:rFonts w:ascii="Times New Roman" w:hAnsi="Times New Roman"/>
          <w:sz w:val="24"/>
          <w:szCs w:val="24"/>
          <w:lang w:val="de-DE"/>
        </w:rPr>
        <w:t xml:space="preserve">, </w:t>
      </w:r>
      <w:r w:rsidR="000E4F9F">
        <w:rPr>
          <w:rFonts w:ascii="Times New Roman" w:hAnsi="Times New Roman"/>
          <w:sz w:val="24"/>
          <w:szCs w:val="24"/>
          <w:lang w:val="de-DE"/>
        </w:rPr>
        <w:t>1</w:t>
      </w:r>
      <w:r w:rsidR="00474362">
        <w:rPr>
          <w:rFonts w:ascii="Times New Roman" w:hAnsi="Times New Roman"/>
          <w:sz w:val="24"/>
          <w:szCs w:val="24"/>
          <w:lang w:val="de-DE"/>
        </w:rPr>
        <w:t>.</w:t>
      </w:r>
      <w:r>
        <w:rPr>
          <w:rFonts w:ascii="Times New Roman" w:hAnsi="Times New Roman"/>
          <w:sz w:val="24"/>
          <w:szCs w:val="24"/>
          <w:lang w:val="de-DE"/>
        </w:rPr>
        <w:t xml:space="preserve"> </w:t>
      </w:r>
      <w:r w:rsidR="000E4F9F">
        <w:rPr>
          <w:rFonts w:ascii="Times New Roman" w:hAnsi="Times New Roman"/>
          <w:sz w:val="24"/>
          <w:szCs w:val="24"/>
          <w:lang w:val="de-DE"/>
        </w:rPr>
        <w:t xml:space="preserve">März </w:t>
      </w:r>
      <w:r w:rsidR="0097687C">
        <w:rPr>
          <w:rFonts w:ascii="Times New Roman" w:hAnsi="Times New Roman"/>
          <w:sz w:val="24"/>
          <w:szCs w:val="24"/>
          <w:lang w:val="de-DE"/>
        </w:rPr>
        <w:t>2022</w:t>
      </w:r>
      <w:r w:rsidR="00281653">
        <w:rPr>
          <w:rFonts w:ascii="Times New Roman" w:hAnsi="Times New Roman"/>
          <w:sz w:val="24"/>
          <w:szCs w:val="24"/>
          <w:lang w:val="de-DE"/>
        </w:rPr>
        <w:t xml:space="preserve">. </w:t>
      </w:r>
      <w:r w:rsidR="000E4F9F">
        <w:rPr>
          <w:rFonts w:ascii="Times New Roman" w:hAnsi="Times New Roman"/>
          <w:sz w:val="24"/>
          <w:szCs w:val="24"/>
          <w:lang w:val="de-DE"/>
        </w:rPr>
        <w:t xml:space="preserve">Am heutigen Dienstag berichtet die TAZ im Hamburg-Teil über die Sperrung von Goliathwatch. Trotz mehrfacher Anfrage der Redakteurin </w:t>
      </w:r>
      <w:r w:rsidR="00191462">
        <w:rPr>
          <w:rFonts w:ascii="Times New Roman" w:hAnsi="Times New Roman"/>
          <w:sz w:val="24"/>
          <w:szCs w:val="24"/>
          <w:lang w:val="de-DE"/>
        </w:rPr>
        <w:t>Lea Schulze hatte Facebook nicht reagiert.</w:t>
      </w:r>
      <w:r w:rsidR="00352F89">
        <w:rPr>
          <w:rFonts w:ascii="Times New Roman" w:hAnsi="Times New Roman"/>
          <w:sz w:val="24"/>
          <w:szCs w:val="24"/>
          <w:lang w:val="de-DE"/>
        </w:rPr>
        <w:t xml:space="preserve"> </w:t>
      </w:r>
      <w:r w:rsidR="00352F89">
        <w:rPr>
          <w:rFonts w:ascii="Times New Roman" w:hAnsi="Times New Roman"/>
          <w:sz w:val="24"/>
          <w:szCs w:val="24"/>
          <w:lang w:val="de-DE"/>
        </w:rPr>
        <w:t xml:space="preserve">Seit Samstag, 12. Februar, sind die Facebook-Seite des Hamburger Vereins und seine Postings zu fairer Digitalisierung oder Menschenrechte nicht mehr über Facebook erreichbar. </w:t>
      </w:r>
      <w:r w:rsidR="0097687C">
        <w:rPr>
          <w:rFonts w:ascii="Times New Roman" w:hAnsi="Times New Roman"/>
          <w:sz w:val="24"/>
          <w:szCs w:val="24"/>
          <w:lang w:val="de-DE"/>
        </w:rPr>
        <w:t xml:space="preserve">Per Email hat der Facebook-Nachfolgekonzern Meta-Europa den Auftritt der </w:t>
      </w:r>
      <w:r>
        <w:rPr>
          <w:rFonts w:ascii="Times New Roman" w:hAnsi="Times New Roman"/>
          <w:sz w:val="24"/>
          <w:szCs w:val="24"/>
          <w:lang w:val="de-DE"/>
        </w:rPr>
        <w:t xml:space="preserve">Hamburger </w:t>
      </w:r>
      <w:r w:rsidR="0012469A">
        <w:rPr>
          <w:rFonts w:ascii="Times New Roman" w:hAnsi="Times New Roman"/>
          <w:sz w:val="24"/>
          <w:szCs w:val="24"/>
          <w:lang w:val="de-DE"/>
        </w:rPr>
        <w:t xml:space="preserve">Nichtregierungsorganisation </w:t>
      </w:r>
      <w:r w:rsidR="003E3C13">
        <w:rPr>
          <w:rFonts w:ascii="Times New Roman" w:hAnsi="Times New Roman"/>
          <w:sz w:val="24"/>
          <w:szCs w:val="24"/>
          <w:lang w:val="de-DE"/>
        </w:rPr>
        <w:t xml:space="preserve">Goliathwatch </w:t>
      </w:r>
      <w:r w:rsidR="0097687C">
        <w:rPr>
          <w:rFonts w:ascii="Times New Roman" w:hAnsi="Times New Roman"/>
          <w:sz w:val="24"/>
          <w:szCs w:val="24"/>
          <w:lang w:val="de-DE"/>
        </w:rPr>
        <w:t xml:space="preserve">gesperrt. </w:t>
      </w:r>
      <w:r w:rsidR="0097687C" w:rsidRPr="0097687C">
        <w:rPr>
          <w:rFonts w:ascii="Times New Roman" w:hAnsi="Times New Roman"/>
          <w:sz w:val="24"/>
          <w:szCs w:val="24"/>
          <w:lang w:val="de-DE"/>
        </w:rPr>
        <w:t>Facebook begründete den Schritt damit, dass Go</w:t>
      </w:r>
      <w:r w:rsidR="0097687C">
        <w:rPr>
          <w:rFonts w:ascii="Times New Roman" w:hAnsi="Times New Roman"/>
          <w:sz w:val="24"/>
          <w:szCs w:val="24"/>
          <w:lang w:val="de-DE"/>
        </w:rPr>
        <w:t>liathwatch angeblich „</w:t>
      </w:r>
      <w:r w:rsidR="0097687C" w:rsidRPr="0097687C">
        <w:rPr>
          <w:rFonts w:ascii="Times New Roman" w:hAnsi="Times New Roman"/>
          <w:sz w:val="24"/>
          <w:szCs w:val="24"/>
          <w:lang w:val="de-DE"/>
        </w:rPr>
        <w:t xml:space="preserve">betrügerisch, irreführend oder gesetzeswidrig </w:t>
      </w:r>
      <w:r w:rsidR="0097687C">
        <w:rPr>
          <w:rFonts w:ascii="Times New Roman" w:hAnsi="Times New Roman"/>
          <w:sz w:val="24"/>
          <w:szCs w:val="24"/>
          <w:lang w:val="de-DE"/>
        </w:rPr>
        <w:t>Informationen“ verbreitet hätte.</w:t>
      </w:r>
      <w:r w:rsidR="0097687C" w:rsidRPr="0097687C">
        <w:rPr>
          <w:rFonts w:ascii="Times New Roman" w:hAnsi="Times New Roman"/>
          <w:sz w:val="24"/>
          <w:szCs w:val="24"/>
          <w:lang w:val="de-DE"/>
        </w:rPr>
        <w:t xml:space="preserve"> </w:t>
      </w:r>
      <w:r w:rsidR="0097687C" w:rsidRPr="0097687C">
        <w:rPr>
          <w:rFonts w:ascii="Times New Roman" w:hAnsi="Times New Roman"/>
          <w:sz w:val="24"/>
          <w:szCs w:val="24"/>
          <w:lang w:val="en-GB"/>
        </w:rPr>
        <w:t>„We don't allow page information that is fraudulent, misleading or in violation of the law</w:t>
      </w:r>
      <w:r w:rsidR="0097687C">
        <w:rPr>
          <w:rFonts w:ascii="Times New Roman" w:hAnsi="Times New Roman"/>
          <w:sz w:val="24"/>
          <w:szCs w:val="24"/>
          <w:lang w:val="en-GB"/>
        </w:rPr>
        <w:t xml:space="preserve">” (Facebook-Mail, 12. </w:t>
      </w:r>
      <w:r w:rsidR="0097687C" w:rsidRPr="001D065A">
        <w:rPr>
          <w:rFonts w:ascii="Times New Roman" w:hAnsi="Times New Roman"/>
          <w:sz w:val="24"/>
          <w:szCs w:val="24"/>
          <w:lang w:val="de-DE"/>
        </w:rPr>
        <w:t>Feb 2022).</w:t>
      </w:r>
      <w:r w:rsidR="001D065A" w:rsidRPr="001D065A">
        <w:rPr>
          <w:rFonts w:ascii="Times New Roman" w:hAnsi="Times New Roman"/>
          <w:sz w:val="24"/>
          <w:szCs w:val="24"/>
          <w:lang w:val="de-DE"/>
        </w:rPr>
        <w:t xml:space="preserve"> Goliathwatch k</w:t>
      </w:r>
      <w:r w:rsidR="001D065A">
        <w:rPr>
          <w:rFonts w:ascii="Times New Roman" w:hAnsi="Times New Roman"/>
          <w:sz w:val="24"/>
          <w:szCs w:val="24"/>
          <w:lang w:val="de-DE"/>
        </w:rPr>
        <w:t>ommentiert aktuelle Entwicklungen und berichtet über Wirtschaft und Menschenrechte, wie die ähnlichen Posts auf Twitter zeigen (@goliathwatch)</w:t>
      </w:r>
    </w:p>
    <w:p w14:paraId="12B64CC3" w14:textId="7F815791" w:rsidR="00173797" w:rsidRDefault="00281653" w:rsidP="004536BC">
      <w:pPr>
        <w:pStyle w:val="western"/>
        <w:spacing w:before="100" w:after="202" w:line="360" w:lineRule="auto"/>
        <w:rPr>
          <w:rFonts w:ascii="Times New Roman" w:hAnsi="Times New Roman"/>
          <w:sz w:val="24"/>
          <w:szCs w:val="24"/>
          <w:lang w:val="de-DE"/>
        </w:rPr>
      </w:pPr>
      <w:r>
        <w:rPr>
          <w:rFonts w:ascii="Times New Roman" w:hAnsi="Times New Roman"/>
          <w:sz w:val="24"/>
          <w:szCs w:val="24"/>
          <w:lang w:val="de-DE"/>
        </w:rPr>
        <w:t>Dr. Thomas Dürmeier, Geschäftsführer der Nichtregierungsorganisation Goliathwatch: „</w:t>
      </w:r>
      <w:r w:rsidR="00365D49">
        <w:rPr>
          <w:rFonts w:ascii="Times New Roman" w:hAnsi="Times New Roman"/>
          <w:sz w:val="24"/>
          <w:szCs w:val="24"/>
          <w:lang w:val="de-DE"/>
        </w:rPr>
        <w:t xml:space="preserve">Facebook will </w:t>
      </w:r>
      <w:r w:rsidR="00F70C78">
        <w:rPr>
          <w:rFonts w:ascii="Times New Roman" w:hAnsi="Times New Roman"/>
          <w:sz w:val="24"/>
          <w:szCs w:val="24"/>
          <w:lang w:val="de-DE"/>
        </w:rPr>
        <w:t xml:space="preserve">vermutlich </w:t>
      </w:r>
      <w:r w:rsidR="00365D49">
        <w:rPr>
          <w:rFonts w:ascii="Times New Roman" w:hAnsi="Times New Roman"/>
          <w:sz w:val="24"/>
          <w:szCs w:val="24"/>
          <w:lang w:val="de-DE"/>
        </w:rPr>
        <w:t xml:space="preserve">seine Kritiker und uns mundtot machen. </w:t>
      </w:r>
      <w:r w:rsidR="00F70C78">
        <w:rPr>
          <w:rFonts w:ascii="Times New Roman" w:hAnsi="Times New Roman"/>
          <w:sz w:val="24"/>
          <w:szCs w:val="24"/>
          <w:lang w:val="de-DE"/>
        </w:rPr>
        <w:t xml:space="preserve">Transparenz ist Fehlanzeige. </w:t>
      </w:r>
      <w:r w:rsidR="00365D49">
        <w:rPr>
          <w:rFonts w:ascii="Times New Roman" w:hAnsi="Times New Roman"/>
          <w:sz w:val="24"/>
          <w:szCs w:val="24"/>
          <w:lang w:val="de-DE"/>
        </w:rPr>
        <w:t xml:space="preserve">Nur weil wir uns für faire digitale Wahlwerbung eingesetzt haben und </w:t>
      </w:r>
      <w:r w:rsidR="00F70C78">
        <w:rPr>
          <w:rFonts w:ascii="Times New Roman" w:hAnsi="Times New Roman"/>
          <w:sz w:val="24"/>
          <w:szCs w:val="24"/>
          <w:lang w:val="de-DE"/>
        </w:rPr>
        <w:t xml:space="preserve">wir europaweit </w:t>
      </w:r>
      <w:r w:rsidR="00365D49">
        <w:rPr>
          <w:rFonts w:ascii="Times New Roman" w:hAnsi="Times New Roman"/>
          <w:sz w:val="24"/>
          <w:szCs w:val="24"/>
          <w:lang w:val="de-DE"/>
        </w:rPr>
        <w:t>schärfere Kartellpolitik wie in de</w:t>
      </w:r>
      <w:r w:rsidR="00C163AE">
        <w:rPr>
          <w:rFonts w:ascii="Times New Roman" w:hAnsi="Times New Roman"/>
          <w:sz w:val="24"/>
          <w:szCs w:val="24"/>
          <w:lang w:val="de-DE"/>
        </w:rPr>
        <w:t>n</w:t>
      </w:r>
      <w:r w:rsidR="00365D49">
        <w:rPr>
          <w:rFonts w:ascii="Times New Roman" w:hAnsi="Times New Roman"/>
          <w:sz w:val="24"/>
          <w:szCs w:val="24"/>
          <w:lang w:val="de-DE"/>
        </w:rPr>
        <w:t xml:space="preserve"> USA einfordern, werden wir aus den Sozialen Medien verban</w:t>
      </w:r>
      <w:r w:rsidR="00E86FAA">
        <w:rPr>
          <w:rFonts w:ascii="Times New Roman" w:hAnsi="Times New Roman"/>
          <w:sz w:val="24"/>
          <w:szCs w:val="24"/>
          <w:lang w:val="de-DE"/>
        </w:rPr>
        <w:t>nt</w:t>
      </w:r>
      <w:r w:rsidR="00365D49">
        <w:rPr>
          <w:rFonts w:ascii="Times New Roman" w:hAnsi="Times New Roman"/>
          <w:sz w:val="24"/>
          <w:szCs w:val="24"/>
          <w:lang w:val="de-DE"/>
        </w:rPr>
        <w:t xml:space="preserve">. Facebook hat seine </w:t>
      </w:r>
      <w:r w:rsidR="00F70C78">
        <w:rPr>
          <w:rFonts w:ascii="Times New Roman" w:hAnsi="Times New Roman"/>
          <w:sz w:val="24"/>
          <w:szCs w:val="24"/>
          <w:lang w:val="de-DE"/>
        </w:rPr>
        <w:t xml:space="preserve">Moderationsrechte überschritten. </w:t>
      </w:r>
      <w:r w:rsidR="00365D49">
        <w:rPr>
          <w:rFonts w:ascii="Times New Roman" w:hAnsi="Times New Roman"/>
          <w:sz w:val="24"/>
          <w:szCs w:val="24"/>
          <w:lang w:val="de-DE"/>
        </w:rPr>
        <w:t xml:space="preserve">Wir müssen den demokratischen Schäden </w:t>
      </w:r>
      <w:r w:rsidR="007D1B2A">
        <w:rPr>
          <w:rFonts w:ascii="Times New Roman" w:hAnsi="Times New Roman"/>
          <w:sz w:val="24"/>
          <w:szCs w:val="24"/>
          <w:lang w:val="de-DE"/>
        </w:rPr>
        <w:t xml:space="preserve">und den Menschenrechtsverletzungen </w:t>
      </w:r>
      <w:r w:rsidR="00365D49">
        <w:rPr>
          <w:rFonts w:ascii="Times New Roman" w:hAnsi="Times New Roman"/>
          <w:sz w:val="24"/>
          <w:szCs w:val="24"/>
          <w:lang w:val="de-DE"/>
        </w:rPr>
        <w:t xml:space="preserve">durch </w:t>
      </w:r>
      <w:r w:rsidR="00F70C78">
        <w:rPr>
          <w:rFonts w:ascii="Times New Roman" w:hAnsi="Times New Roman"/>
          <w:sz w:val="24"/>
          <w:szCs w:val="24"/>
          <w:lang w:val="de-DE"/>
        </w:rPr>
        <w:t xml:space="preserve">die Firmenpolitik von </w:t>
      </w:r>
      <w:r w:rsidR="00365D49">
        <w:rPr>
          <w:rFonts w:ascii="Times New Roman" w:hAnsi="Times New Roman"/>
          <w:sz w:val="24"/>
          <w:szCs w:val="24"/>
          <w:lang w:val="de-DE"/>
        </w:rPr>
        <w:t xml:space="preserve">Mark Zuckerberg </w:t>
      </w:r>
      <w:r w:rsidR="00F70C78">
        <w:rPr>
          <w:rFonts w:ascii="Times New Roman" w:hAnsi="Times New Roman"/>
          <w:sz w:val="24"/>
          <w:szCs w:val="24"/>
          <w:lang w:val="de-DE"/>
        </w:rPr>
        <w:t xml:space="preserve">endlich </w:t>
      </w:r>
      <w:r w:rsidR="007D1B2A">
        <w:rPr>
          <w:rFonts w:ascii="Times New Roman" w:hAnsi="Times New Roman"/>
          <w:sz w:val="24"/>
          <w:szCs w:val="24"/>
          <w:lang w:val="de-DE"/>
        </w:rPr>
        <w:t xml:space="preserve">wirksame </w:t>
      </w:r>
      <w:r w:rsidR="00365D49">
        <w:rPr>
          <w:rFonts w:ascii="Times New Roman" w:hAnsi="Times New Roman"/>
          <w:sz w:val="24"/>
          <w:szCs w:val="24"/>
          <w:lang w:val="de-DE"/>
        </w:rPr>
        <w:t>gesetzliche Grenzen setzen.“</w:t>
      </w:r>
    </w:p>
    <w:p w14:paraId="6FA4AA61" w14:textId="1655C372" w:rsidR="007178F0" w:rsidRDefault="00365D49" w:rsidP="004536BC">
      <w:pPr>
        <w:pStyle w:val="western"/>
        <w:spacing w:before="100" w:after="202" w:line="360" w:lineRule="auto"/>
        <w:rPr>
          <w:rFonts w:ascii="Times New Roman" w:hAnsi="Times New Roman"/>
          <w:sz w:val="24"/>
          <w:szCs w:val="24"/>
          <w:lang w:val="de-DE"/>
        </w:rPr>
      </w:pPr>
      <w:r>
        <w:rPr>
          <w:rFonts w:ascii="Times New Roman" w:hAnsi="Times New Roman"/>
          <w:sz w:val="24"/>
          <w:szCs w:val="24"/>
          <w:lang w:val="de-DE"/>
        </w:rPr>
        <w:t xml:space="preserve">Goliathwatch </w:t>
      </w:r>
      <w:r w:rsidR="00F70C78">
        <w:rPr>
          <w:rFonts w:ascii="Times New Roman" w:hAnsi="Times New Roman"/>
          <w:sz w:val="24"/>
          <w:szCs w:val="24"/>
          <w:lang w:val="de-DE"/>
        </w:rPr>
        <w:t xml:space="preserve">fordert die sofortige Freischaltung seiner Facebook-Seite, damit </w:t>
      </w:r>
      <w:r w:rsidR="00F70C78" w:rsidRPr="009279FA">
        <w:rPr>
          <w:rFonts w:ascii="Times New Roman" w:hAnsi="Times New Roman"/>
          <w:sz w:val="24"/>
          <w:szCs w:val="24"/>
          <w:lang w:val="de-DE"/>
        </w:rPr>
        <w:t xml:space="preserve">die </w:t>
      </w:r>
      <w:r w:rsidR="00A468E5">
        <w:rPr>
          <w:rFonts w:ascii="Times New Roman" w:hAnsi="Times New Roman"/>
          <w:sz w:val="24"/>
          <w:szCs w:val="24"/>
          <w:lang w:val="de-DE"/>
        </w:rPr>
        <w:t>fast 500</w:t>
      </w:r>
      <w:r w:rsidR="00F70C78" w:rsidRPr="009279FA">
        <w:rPr>
          <w:rFonts w:ascii="Times New Roman" w:hAnsi="Times New Roman"/>
          <w:sz w:val="24"/>
          <w:szCs w:val="24"/>
          <w:lang w:val="de-DE"/>
        </w:rPr>
        <w:t xml:space="preserve"> Abonnenten</w:t>
      </w:r>
      <w:r w:rsidR="00F70C78">
        <w:rPr>
          <w:rFonts w:ascii="Times New Roman" w:hAnsi="Times New Roman"/>
          <w:sz w:val="24"/>
          <w:szCs w:val="24"/>
          <w:lang w:val="de-DE"/>
        </w:rPr>
        <w:t xml:space="preserve"> wieder Informationen über faire Digitalisierung und Wirtschaft erhalten können. </w:t>
      </w:r>
      <w:r w:rsidR="006C1322" w:rsidRPr="006C1322">
        <w:rPr>
          <w:rFonts w:ascii="Times New Roman" w:hAnsi="Times New Roman"/>
          <w:sz w:val="24"/>
          <w:szCs w:val="24"/>
          <w:lang w:val="de-DE"/>
        </w:rPr>
        <w:t>Auf dem Widerspruch gegen die Sperrung von Goliathwatch hat Facebook bisher nicht reagiert. Goliathwatch erwägt juristische Schritte einzuleiten und steht dazu bereits im Austausch mit der Gesellschaft für Freiheitsrechte.</w:t>
      </w:r>
    </w:p>
    <w:p w14:paraId="563AFDA8" w14:textId="0BAF758D" w:rsidR="00365D49" w:rsidRPr="00B46DDF" w:rsidRDefault="007178F0" w:rsidP="004536BC">
      <w:pPr>
        <w:pStyle w:val="western"/>
        <w:spacing w:before="100" w:after="202" w:line="360" w:lineRule="auto"/>
        <w:rPr>
          <w:rFonts w:ascii="Times New Roman" w:hAnsi="Times New Roman"/>
          <w:sz w:val="24"/>
          <w:szCs w:val="24"/>
          <w:lang w:val="de-DE"/>
        </w:rPr>
      </w:pPr>
      <w:r w:rsidRPr="0047315B">
        <w:rPr>
          <w:rFonts w:ascii="Times New Roman" w:hAnsi="Times New Roman"/>
          <w:sz w:val="24"/>
          <w:szCs w:val="24"/>
          <w:lang w:val="de-DE"/>
        </w:rPr>
        <w:lastRenderedPageBreak/>
        <w:t>„D</w:t>
      </w:r>
      <w:r w:rsidR="00F70C78" w:rsidRPr="0047315B">
        <w:rPr>
          <w:rFonts w:ascii="Times New Roman" w:hAnsi="Times New Roman"/>
          <w:sz w:val="24"/>
          <w:szCs w:val="24"/>
          <w:lang w:val="de-DE"/>
        </w:rPr>
        <w:t xml:space="preserve">er Gesetzgeber </w:t>
      </w:r>
      <w:r w:rsidRPr="0047315B">
        <w:rPr>
          <w:rFonts w:ascii="Times New Roman" w:hAnsi="Times New Roman"/>
          <w:sz w:val="24"/>
          <w:szCs w:val="24"/>
          <w:lang w:val="de-DE"/>
        </w:rPr>
        <w:t xml:space="preserve">muss </w:t>
      </w:r>
      <w:r w:rsidR="00F70C78" w:rsidRPr="0047315B">
        <w:rPr>
          <w:rFonts w:ascii="Times New Roman" w:hAnsi="Times New Roman"/>
          <w:sz w:val="24"/>
          <w:szCs w:val="24"/>
          <w:lang w:val="de-DE"/>
        </w:rPr>
        <w:t xml:space="preserve">endlich eine unabhängige Beschwerdestelle einrichten. Die </w:t>
      </w:r>
      <w:r w:rsidRPr="0047315B">
        <w:rPr>
          <w:rFonts w:ascii="Times New Roman" w:hAnsi="Times New Roman"/>
          <w:sz w:val="24"/>
          <w:szCs w:val="24"/>
          <w:lang w:val="de-DE"/>
        </w:rPr>
        <w:t xml:space="preserve">freiwillige </w:t>
      </w:r>
      <w:r w:rsidR="00F70C78" w:rsidRPr="0047315B">
        <w:rPr>
          <w:rFonts w:ascii="Times New Roman" w:hAnsi="Times New Roman"/>
          <w:sz w:val="24"/>
          <w:szCs w:val="24"/>
          <w:lang w:val="de-DE"/>
        </w:rPr>
        <w:t xml:space="preserve">Beschwerdestelle, die von Facebook </w:t>
      </w:r>
      <w:r w:rsidRPr="0047315B">
        <w:rPr>
          <w:rFonts w:ascii="Times New Roman" w:hAnsi="Times New Roman"/>
          <w:sz w:val="24"/>
          <w:szCs w:val="24"/>
          <w:lang w:val="de-DE"/>
        </w:rPr>
        <w:t>zusammengesetzt wurde</w:t>
      </w:r>
      <w:r w:rsidR="00F70C78" w:rsidRPr="0047315B">
        <w:rPr>
          <w:rFonts w:ascii="Times New Roman" w:hAnsi="Times New Roman"/>
          <w:sz w:val="24"/>
          <w:szCs w:val="24"/>
          <w:lang w:val="de-DE"/>
        </w:rPr>
        <w:t>, fällt weit hinter dem Schutzstandards für freie Öffentlichkeit des Presserats oder der Rundfunkanstalten zurück</w:t>
      </w:r>
      <w:r w:rsidRPr="0047315B">
        <w:rPr>
          <w:rFonts w:ascii="Times New Roman" w:hAnsi="Times New Roman"/>
          <w:sz w:val="24"/>
          <w:szCs w:val="24"/>
          <w:lang w:val="de-DE"/>
        </w:rPr>
        <w:t>,“ fordert</w:t>
      </w:r>
      <w:r>
        <w:rPr>
          <w:rFonts w:ascii="Times New Roman" w:hAnsi="Times New Roman"/>
          <w:sz w:val="24"/>
          <w:szCs w:val="24"/>
          <w:lang w:val="de-DE"/>
        </w:rPr>
        <w:t xml:space="preserve"> Dr. Thomas Dürmeier von Goliathwatch.</w:t>
      </w:r>
    </w:p>
    <w:p w14:paraId="08C51BC6" w14:textId="624B7673" w:rsidR="00BC2530" w:rsidRDefault="00F70C78" w:rsidP="004536BC">
      <w:pPr>
        <w:pStyle w:val="western"/>
        <w:spacing w:before="100" w:after="202" w:line="360" w:lineRule="auto"/>
        <w:rPr>
          <w:rFonts w:ascii="Times New Roman" w:hAnsi="Times New Roman"/>
          <w:sz w:val="24"/>
          <w:szCs w:val="24"/>
          <w:lang w:val="de-DE"/>
        </w:rPr>
      </w:pPr>
      <w:r>
        <w:rPr>
          <w:rFonts w:ascii="Times New Roman" w:hAnsi="Times New Roman"/>
          <w:sz w:val="24"/>
          <w:szCs w:val="24"/>
          <w:lang w:val="de-DE"/>
        </w:rPr>
        <w:t>Goliathwatch ist Teil des zivilgesellschaftlichen Bündnisses „Campaign-Watch“ für einen fairen Bundestagswahlkampf, damit keine einseitige Wahlbeeinflussung über soziale Medien passiert, da Regeln für digitale Medien schwächer sind als für Wahlwerbung auf der Straße oder in Fernsehen und Rundfunk. Außerdem setzt sich Goliathwatch im Bündnis „Konzernmacht beschränken“ für stärkere Beschränkung der Marktmacht von Großkonzernen wie bei Facebook oder Bayer-Monsanto ein, weil dies andere Unternehmen, Verbraucher oder Lohnabhängige schädigt.</w:t>
      </w:r>
    </w:p>
    <w:p w14:paraId="7BB9638B" w14:textId="4794D080" w:rsidR="006F2413" w:rsidRDefault="00352F89">
      <w:pPr>
        <w:spacing w:after="0" w:line="240" w:lineRule="auto"/>
        <w:rPr>
          <w:rFonts w:ascii="Arial" w:hAnsi="Arial" w:cs="Arial"/>
          <w:color w:val="000000"/>
          <w:lang w:val="es-ES" w:eastAsia="es-ES"/>
        </w:rPr>
      </w:pPr>
      <w:r>
        <w:rPr>
          <w:rFonts w:ascii="Arial" w:hAnsi="Arial" w:cs="Arial"/>
          <w:color w:val="000000"/>
          <w:lang w:val="es-ES" w:eastAsia="es-ES"/>
        </w:rPr>
        <w:t xml:space="preserve">Bericht der TAZ vom 1. März 2022 hier abrufbar: </w:t>
      </w:r>
      <w:hyperlink r:id="rId7" w:history="1">
        <w:r w:rsidRPr="00C54B39">
          <w:rPr>
            <w:rStyle w:val="Hyperlink"/>
            <w:rFonts w:ascii="Arial" w:hAnsi="Arial" w:cs="Arial"/>
            <w:lang w:val="es-ES" w:eastAsia="es-ES"/>
          </w:rPr>
          <w:t>https://taz.de/!5835337/</w:t>
        </w:r>
      </w:hyperlink>
      <w:r>
        <w:rPr>
          <w:rFonts w:ascii="Arial" w:hAnsi="Arial" w:cs="Arial"/>
          <w:color w:val="000000"/>
          <w:lang w:val="es-ES" w:eastAsia="es-ES"/>
        </w:rPr>
        <w:t xml:space="preserve"> </w:t>
      </w:r>
    </w:p>
    <w:p w14:paraId="58E249F7" w14:textId="49B53232" w:rsidR="00EC358E" w:rsidRDefault="00EC358E" w:rsidP="00EC358E">
      <w:pPr>
        <w:spacing w:before="100" w:beforeAutospacing="1" w:after="202"/>
      </w:pPr>
      <w:r>
        <w:rPr>
          <w:rFonts w:ascii="Arial" w:hAnsi="Arial" w:cs="Arial"/>
          <w:color w:val="000000"/>
          <w:lang w:eastAsia="de-DE"/>
        </w:rPr>
        <w:t>Quellen und Hintergrundinformationen zur Sperrung durch Facebook</w:t>
      </w:r>
      <w:r w:rsidRPr="00C50D27">
        <w:rPr>
          <w:rFonts w:ascii="Arial" w:hAnsi="Arial" w:cs="Arial"/>
          <w:color w:val="000000"/>
          <w:lang w:eastAsia="de-DE"/>
        </w:rPr>
        <w:t>:</w:t>
      </w:r>
      <w:r w:rsidRPr="004C545F">
        <w:rPr>
          <w:rFonts w:ascii="Arial" w:hAnsi="Arial" w:cs="Arial"/>
          <w:color w:val="000000"/>
          <w:sz w:val="20"/>
          <w:szCs w:val="20"/>
          <w:lang w:eastAsia="de-DE"/>
        </w:rPr>
        <w:t xml:space="preserve"> </w:t>
      </w:r>
      <w:hyperlink r:id="rId8" w:history="1">
        <w:r w:rsidRPr="003A0C68">
          <w:rPr>
            <w:rStyle w:val="Hyperlink"/>
            <w:rFonts w:ascii="Segoe UI" w:hAnsi="Segoe UI" w:cs="Segoe UI"/>
            <w:sz w:val="20"/>
            <w:szCs w:val="20"/>
            <w:shd w:val="clear" w:color="auto" w:fill="F0F0F1"/>
          </w:rPr>
          <w:t>https://goliathwatch.de/</w:t>
        </w:r>
        <w:r w:rsidRPr="003A0C68">
          <w:rPr>
            <w:rStyle w:val="Hyperlink"/>
            <w:rFonts w:ascii="Segoe UI" w:hAnsi="Segoe UI" w:cs="Segoe UI"/>
            <w:b/>
            <w:bCs/>
            <w:sz w:val="20"/>
            <w:szCs w:val="20"/>
            <w:shd w:val="clear" w:color="auto" w:fill="F0F0F1"/>
          </w:rPr>
          <w:t>facebooksperre</w:t>
        </w:r>
        <w:r w:rsidRPr="003A0C68">
          <w:rPr>
            <w:rStyle w:val="Hyperlink"/>
            <w:rFonts w:ascii="Segoe UI" w:hAnsi="Segoe UI" w:cs="Segoe UI"/>
            <w:sz w:val="20"/>
            <w:szCs w:val="20"/>
            <w:shd w:val="clear" w:color="auto" w:fill="F0F0F1"/>
          </w:rPr>
          <w:t>/</w:t>
        </w:r>
      </w:hyperlink>
      <w:r>
        <w:t xml:space="preserve"> </w:t>
      </w:r>
    </w:p>
    <w:p w14:paraId="4ACF5A7B" w14:textId="68D6E626" w:rsidR="00EC358E" w:rsidRPr="00EC358E" w:rsidRDefault="00352F89">
      <w:pPr>
        <w:spacing w:after="0" w:line="240" w:lineRule="auto"/>
        <w:rPr>
          <w:rFonts w:ascii="Arial" w:hAnsi="Arial" w:cs="Arial"/>
          <w:color w:val="000000"/>
          <w:lang w:eastAsia="es-ES"/>
        </w:rPr>
      </w:pPr>
      <w:r>
        <w:rPr>
          <w:rFonts w:ascii="Arial" w:hAnsi="Arial" w:cs="Arial"/>
          <w:color w:val="000000"/>
          <w:lang w:eastAsia="es-ES"/>
        </w:rPr>
        <w:t xml:space="preserve">Bildmaterial auf unserer Presseseite </w:t>
      </w:r>
      <w:hyperlink r:id="rId9" w:history="1">
        <w:r w:rsidRPr="00C54B39">
          <w:rPr>
            <w:rStyle w:val="Hyperlink"/>
            <w:rFonts w:ascii="Arial" w:hAnsi="Arial" w:cs="Arial"/>
            <w:lang w:eastAsia="es-ES"/>
          </w:rPr>
          <w:t>https://goliathwatch.de/presse/presseinfo/</w:t>
        </w:r>
      </w:hyperlink>
    </w:p>
    <w:p w14:paraId="3A830C2D" w14:textId="6D01DE48" w:rsidR="00E04F4F" w:rsidRPr="00E04F4F" w:rsidRDefault="00E04F4F" w:rsidP="00E04F4F">
      <w:pPr>
        <w:pStyle w:val="western"/>
        <w:spacing w:before="280" w:after="202"/>
        <w:jc w:val="both"/>
        <w:rPr>
          <w:rFonts w:ascii="Arial" w:hAnsi="Arial" w:cs="Arial"/>
        </w:rPr>
      </w:pPr>
      <w:r w:rsidRPr="00E04F4F">
        <w:rPr>
          <w:rFonts w:ascii="Arial" w:hAnsi="Arial" w:cs="Arial"/>
        </w:rPr>
        <w:t>Zu Goliathwatch:</w:t>
      </w:r>
    </w:p>
    <w:p w14:paraId="15BC8600" w14:textId="472E30CF" w:rsidR="00735756" w:rsidRPr="00E04F4F" w:rsidRDefault="00E04F4F" w:rsidP="00E04F4F">
      <w:pPr>
        <w:pStyle w:val="western"/>
        <w:spacing w:before="280" w:after="202"/>
        <w:jc w:val="both"/>
        <w:rPr>
          <w:rFonts w:ascii="Arial" w:hAnsi="Arial" w:cs="Arial"/>
        </w:rPr>
      </w:pPr>
      <w:r w:rsidRPr="00E04F4F">
        <w:rPr>
          <w:rFonts w:ascii="Arial" w:hAnsi="Arial" w:cs="Arial"/>
        </w:rPr>
        <w:t>Die Nichtregierungsorganisation Goliathwatch aus Hamburg will Demokratie fördern und die Macht der Konzern</w:t>
      </w:r>
      <w:r w:rsidR="004536BC">
        <w:rPr>
          <w:rFonts w:ascii="Arial" w:hAnsi="Arial" w:cs="Arial"/>
        </w:rPr>
        <w:t>riesen</w:t>
      </w:r>
      <w:r w:rsidRPr="00E04F4F">
        <w:rPr>
          <w:rFonts w:ascii="Arial" w:hAnsi="Arial" w:cs="Arial"/>
        </w:rPr>
        <w:t xml:space="preserve"> einschränken. Menschenrechte und Umweltschutz sollen gestärkt werden. Goliathwatch wurde 2017 gegründet und finanziert sich über Spenden, Fördermitglieder und Stiftungsgelder. </w:t>
      </w:r>
      <w:r>
        <w:rPr>
          <w:rFonts w:ascii="Arial" w:hAnsi="Arial" w:cs="Arial"/>
        </w:rPr>
        <w:t xml:space="preserve">Die </w:t>
      </w:r>
      <w:r w:rsidR="007D1B2A">
        <w:rPr>
          <w:rFonts w:ascii="Arial" w:hAnsi="Arial" w:cs="Arial"/>
        </w:rPr>
        <w:t xml:space="preserve">letzte </w:t>
      </w:r>
      <w:r w:rsidRPr="00E04F4F">
        <w:rPr>
          <w:rFonts w:ascii="Arial" w:hAnsi="Arial" w:cs="Arial"/>
        </w:rPr>
        <w:t xml:space="preserve"> Kampagne #digitaledemokratie - #fairstattfake</w:t>
      </w:r>
      <w:r>
        <w:rPr>
          <w:rFonts w:ascii="Arial" w:hAnsi="Arial" w:cs="Arial"/>
        </w:rPr>
        <w:t xml:space="preserve"> </w:t>
      </w:r>
      <w:r w:rsidR="007D1B2A">
        <w:rPr>
          <w:rFonts w:ascii="Arial" w:hAnsi="Arial" w:cs="Arial"/>
        </w:rPr>
        <w:t xml:space="preserve">wurde </w:t>
      </w:r>
      <w:r>
        <w:rPr>
          <w:rFonts w:ascii="Arial" w:hAnsi="Arial" w:cs="Arial"/>
        </w:rPr>
        <w:t>co-finanziert durch die Bewegungsstiftung</w:t>
      </w:r>
      <w:r w:rsidRPr="00E04F4F">
        <w:rPr>
          <w:rFonts w:ascii="Arial" w:hAnsi="Arial" w:cs="Arial"/>
        </w:rPr>
        <w:t>.</w:t>
      </w:r>
    </w:p>
    <w:p w14:paraId="734D57D3" w14:textId="77777777" w:rsidR="00381CBA" w:rsidRPr="00381CBA" w:rsidRDefault="00381CBA" w:rsidP="00381CBA">
      <w:pPr>
        <w:spacing w:before="100" w:beforeAutospacing="1" w:after="115" w:line="240" w:lineRule="auto"/>
        <w:rPr>
          <w:rFonts w:ascii="Arial" w:hAnsi="Arial" w:cs="Arial"/>
          <w:color w:val="000000"/>
          <w:sz w:val="24"/>
          <w:szCs w:val="24"/>
          <w:lang w:eastAsia="de-DE"/>
        </w:rPr>
      </w:pPr>
      <w:r w:rsidRPr="00381CBA">
        <w:rPr>
          <w:rFonts w:ascii="Arial" w:hAnsi="Arial" w:cs="Arial"/>
          <w:b/>
          <w:bCs/>
          <w:color w:val="000000"/>
          <w:sz w:val="24"/>
          <w:szCs w:val="24"/>
          <w:lang w:eastAsia="de-DE"/>
        </w:rPr>
        <w:t>Weitere Information:</w:t>
      </w:r>
    </w:p>
    <w:p w14:paraId="2B7006CA" w14:textId="54ACEFA3" w:rsidR="00E04F4F" w:rsidRDefault="00173797" w:rsidP="00622A76">
      <w:pPr>
        <w:spacing w:before="100" w:beforeAutospacing="1" w:after="202"/>
        <w:rPr>
          <w:rFonts w:ascii="Arial" w:hAnsi="Arial" w:cs="Arial"/>
          <w:color w:val="000000"/>
          <w:sz w:val="20"/>
          <w:szCs w:val="20"/>
          <w:lang w:eastAsia="de-DE"/>
        </w:rPr>
      </w:pPr>
      <w:r>
        <w:rPr>
          <w:rFonts w:ascii="Arial" w:hAnsi="Arial" w:cs="Arial"/>
          <w:color w:val="000000"/>
          <w:lang w:eastAsia="de-DE"/>
        </w:rPr>
        <w:t>Zu Goliathwatch</w:t>
      </w:r>
      <w:r w:rsidR="00381CBA" w:rsidRPr="00C50D27">
        <w:rPr>
          <w:rFonts w:ascii="Arial" w:hAnsi="Arial" w:cs="Arial"/>
          <w:color w:val="000000"/>
          <w:lang w:eastAsia="de-DE"/>
        </w:rPr>
        <w:t>:</w:t>
      </w:r>
      <w:r w:rsidR="00381CBA" w:rsidRPr="004C545F">
        <w:rPr>
          <w:rFonts w:ascii="Arial" w:hAnsi="Arial" w:cs="Arial"/>
          <w:color w:val="000000"/>
          <w:sz w:val="20"/>
          <w:szCs w:val="20"/>
          <w:lang w:eastAsia="de-DE"/>
        </w:rPr>
        <w:t xml:space="preserve"> </w:t>
      </w:r>
      <w:r w:rsidR="00E04F4F">
        <w:rPr>
          <w:rFonts w:ascii="Arial" w:hAnsi="Arial" w:cs="Arial"/>
          <w:color w:val="000000"/>
          <w:sz w:val="20"/>
          <w:szCs w:val="20"/>
          <w:lang w:eastAsia="de-DE"/>
        </w:rPr>
        <w:t>www.goliathwatch.de</w:t>
      </w:r>
    </w:p>
    <w:p w14:paraId="761094A7" w14:textId="77777777" w:rsidR="00710C6A" w:rsidRPr="00381CBA" w:rsidRDefault="00B22BED">
      <w:pPr>
        <w:spacing w:after="120" w:line="240" w:lineRule="auto"/>
        <w:jc w:val="both"/>
        <w:outlineLvl w:val="0"/>
        <w:rPr>
          <w:rFonts w:ascii="Arial" w:hAnsi="Arial" w:cs="Arial"/>
          <w:b/>
          <w:bCs/>
          <w:sz w:val="24"/>
          <w:szCs w:val="24"/>
          <w:lang w:eastAsia="de-DE"/>
        </w:rPr>
      </w:pPr>
      <w:r w:rsidRPr="00381CBA">
        <w:rPr>
          <w:rFonts w:ascii="Arial" w:hAnsi="Arial" w:cs="Arial"/>
          <w:b/>
          <w:bCs/>
          <w:sz w:val="24"/>
          <w:szCs w:val="24"/>
          <w:lang w:eastAsia="de-DE"/>
        </w:rPr>
        <w:t>Medienkontakt:</w:t>
      </w:r>
    </w:p>
    <w:p w14:paraId="0EB7D072" w14:textId="77777777" w:rsidR="009238A3" w:rsidRPr="009238A3" w:rsidRDefault="009238A3" w:rsidP="009238A3">
      <w:pPr>
        <w:spacing w:after="0" w:line="240" w:lineRule="auto"/>
        <w:jc w:val="both"/>
        <w:rPr>
          <w:rFonts w:ascii="Arial" w:hAnsi="Arial" w:cs="Arial"/>
        </w:rPr>
      </w:pPr>
      <w:r w:rsidRPr="009238A3">
        <w:rPr>
          <w:rFonts w:ascii="Arial" w:hAnsi="Arial" w:cs="Arial"/>
        </w:rPr>
        <w:t>Dr. Thomas Dürmeier</w:t>
      </w:r>
    </w:p>
    <w:p w14:paraId="3CC46375" w14:textId="77777777" w:rsidR="009238A3" w:rsidRPr="009238A3" w:rsidRDefault="009238A3" w:rsidP="009238A3">
      <w:pPr>
        <w:spacing w:after="0" w:line="240" w:lineRule="auto"/>
        <w:jc w:val="both"/>
        <w:rPr>
          <w:rFonts w:ascii="Arial" w:hAnsi="Arial" w:cs="Arial"/>
        </w:rPr>
      </w:pPr>
      <w:r w:rsidRPr="009238A3">
        <w:rPr>
          <w:rFonts w:ascii="Arial" w:hAnsi="Arial" w:cs="Arial"/>
        </w:rPr>
        <w:t>Goliathwatch e.V.</w:t>
      </w:r>
    </w:p>
    <w:p w14:paraId="55284244" w14:textId="77777777" w:rsidR="009238A3" w:rsidRPr="009238A3" w:rsidRDefault="009238A3" w:rsidP="009238A3">
      <w:pPr>
        <w:spacing w:after="0" w:line="240" w:lineRule="auto"/>
        <w:jc w:val="both"/>
        <w:rPr>
          <w:rFonts w:ascii="Arial" w:hAnsi="Arial" w:cs="Arial"/>
        </w:rPr>
      </w:pPr>
      <w:r w:rsidRPr="009238A3">
        <w:rPr>
          <w:rFonts w:ascii="Arial" w:hAnsi="Arial" w:cs="Arial"/>
        </w:rPr>
        <w:t>E-Mail: duermeier@goliathwatch.de</w:t>
      </w:r>
    </w:p>
    <w:p w14:paraId="0482FE7A" w14:textId="77777777" w:rsidR="009238A3" w:rsidRPr="009238A3" w:rsidRDefault="009238A3" w:rsidP="009238A3">
      <w:pPr>
        <w:spacing w:after="0" w:line="240" w:lineRule="auto"/>
        <w:jc w:val="both"/>
        <w:rPr>
          <w:rFonts w:ascii="Arial" w:hAnsi="Arial" w:cs="Arial"/>
        </w:rPr>
      </w:pPr>
      <w:r w:rsidRPr="009238A3">
        <w:rPr>
          <w:rFonts w:ascii="Arial" w:hAnsi="Arial" w:cs="Arial"/>
        </w:rPr>
        <w:t>22309 Hamburg</w:t>
      </w:r>
    </w:p>
    <w:p w14:paraId="7C6F2703" w14:textId="306944A5" w:rsidR="00710C6A" w:rsidRPr="00381CBA" w:rsidRDefault="009238A3" w:rsidP="009238A3">
      <w:pPr>
        <w:spacing w:after="0" w:line="240" w:lineRule="auto"/>
        <w:jc w:val="both"/>
        <w:rPr>
          <w:rFonts w:ascii="Arial" w:hAnsi="Arial" w:cs="Arial"/>
        </w:rPr>
      </w:pPr>
      <w:r w:rsidRPr="009238A3">
        <w:rPr>
          <w:rFonts w:ascii="Arial" w:hAnsi="Arial" w:cs="Arial"/>
        </w:rPr>
        <w:t>Fon: +49 177 428 2925</w:t>
      </w:r>
    </w:p>
    <w:sectPr w:rsidR="00710C6A" w:rsidRPr="00381CBA" w:rsidSect="00431E88">
      <w:pgSz w:w="12240" w:h="15840"/>
      <w:pgMar w:top="2084" w:right="758" w:bottom="765" w:left="993" w:header="0" w:footer="48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9DCB3" w14:textId="77777777" w:rsidR="007B2D12" w:rsidRDefault="007B2D12">
      <w:pPr>
        <w:spacing w:after="0" w:line="240" w:lineRule="auto"/>
      </w:pPr>
      <w:r>
        <w:separator/>
      </w:r>
    </w:p>
  </w:endnote>
  <w:endnote w:type="continuationSeparator" w:id="0">
    <w:p w14:paraId="3DDE1B75" w14:textId="77777777" w:rsidR="007B2D12" w:rsidRDefault="007B2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hnschrift Light">
    <w:panose1 w:val="020B0502040204020203"/>
    <w:charset w:val="00"/>
    <w:family w:val="swiss"/>
    <w:pitch w:val="variable"/>
    <w:sig w:usb0="A00002C7" w:usb1="00000002" w:usb2="00000000" w:usb3="00000000" w:csb0="0000019F" w:csb1="00000000"/>
  </w:font>
  <w:font w:name="Frutiger LT St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 PL KaitiM GB">
    <w:panose1 w:val="00000000000000000000"/>
    <w:charset w:val="00"/>
    <w:family w:val="roman"/>
    <w:notTrueType/>
    <w:pitch w:val="default"/>
  </w:font>
  <w:font w:name="FreeSans">
    <w:altName w:val="Cambria"/>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B1DFE" w14:textId="77777777" w:rsidR="007B2D12" w:rsidRDefault="007B2D12">
      <w:pPr>
        <w:spacing w:after="0" w:line="240" w:lineRule="auto"/>
      </w:pPr>
      <w:r>
        <w:separator/>
      </w:r>
    </w:p>
  </w:footnote>
  <w:footnote w:type="continuationSeparator" w:id="0">
    <w:p w14:paraId="28460B21" w14:textId="77777777" w:rsidR="007B2D12" w:rsidRDefault="007B2D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D1CDA"/>
    <w:multiLevelType w:val="multilevel"/>
    <w:tmpl w:val="24763B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B165638"/>
    <w:multiLevelType w:val="multilevel"/>
    <w:tmpl w:val="D36EB8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C6A"/>
    <w:rsid w:val="00003A06"/>
    <w:rsid w:val="00017780"/>
    <w:rsid w:val="00067BC2"/>
    <w:rsid w:val="000859E5"/>
    <w:rsid w:val="000E4F9F"/>
    <w:rsid w:val="000F3C5E"/>
    <w:rsid w:val="0012469A"/>
    <w:rsid w:val="00157386"/>
    <w:rsid w:val="00173797"/>
    <w:rsid w:val="001864F4"/>
    <w:rsid w:val="00191462"/>
    <w:rsid w:val="001D065A"/>
    <w:rsid w:val="0024327B"/>
    <w:rsid w:val="00281653"/>
    <w:rsid w:val="00281EBB"/>
    <w:rsid w:val="00290BEA"/>
    <w:rsid w:val="002D7F62"/>
    <w:rsid w:val="00352F89"/>
    <w:rsid w:val="00365D49"/>
    <w:rsid w:val="00381CBA"/>
    <w:rsid w:val="003A15CE"/>
    <w:rsid w:val="003D7E92"/>
    <w:rsid w:val="003E3C13"/>
    <w:rsid w:val="00404414"/>
    <w:rsid w:val="00431E88"/>
    <w:rsid w:val="004536BC"/>
    <w:rsid w:val="0047315B"/>
    <w:rsid w:val="00474362"/>
    <w:rsid w:val="004C545F"/>
    <w:rsid w:val="004C7734"/>
    <w:rsid w:val="00526FE6"/>
    <w:rsid w:val="00557FC7"/>
    <w:rsid w:val="0058025B"/>
    <w:rsid w:val="005C2520"/>
    <w:rsid w:val="005C4FE7"/>
    <w:rsid w:val="00622A76"/>
    <w:rsid w:val="00622AEF"/>
    <w:rsid w:val="006271C7"/>
    <w:rsid w:val="006B072D"/>
    <w:rsid w:val="006C1322"/>
    <w:rsid w:val="006F2413"/>
    <w:rsid w:val="00710C6A"/>
    <w:rsid w:val="007178F0"/>
    <w:rsid w:val="00735756"/>
    <w:rsid w:val="00784FAE"/>
    <w:rsid w:val="007A5604"/>
    <w:rsid w:val="007B2D12"/>
    <w:rsid w:val="007D1B2A"/>
    <w:rsid w:val="007D563F"/>
    <w:rsid w:val="0083291C"/>
    <w:rsid w:val="008C4C79"/>
    <w:rsid w:val="00923693"/>
    <w:rsid w:val="009238A3"/>
    <w:rsid w:val="009279FA"/>
    <w:rsid w:val="00927C93"/>
    <w:rsid w:val="009434FF"/>
    <w:rsid w:val="0097687C"/>
    <w:rsid w:val="009B55DC"/>
    <w:rsid w:val="009B75C4"/>
    <w:rsid w:val="009C34F8"/>
    <w:rsid w:val="009D222F"/>
    <w:rsid w:val="009F5F22"/>
    <w:rsid w:val="00A021EC"/>
    <w:rsid w:val="00A468E5"/>
    <w:rsid w:val="00A541D8"/>
    <w:rsid w:val="00AC34EF"/>
    <w:rsid w:val="00B01F94"/>
    <w:rsid w:val="00B22BED"/>
    <w:rsid w:val="00B40D04"/>
    <w:rsid w:val="00B46DDF"/>
    <w:rsid w:val="00BA419B"/>
    <w:rsid w:val="00BC1F55"/>
    <w:rsid w:val="00BC2530"/>
    <w:rsid w:val="00BF1D7D"/>
    <w:rsid w:val="00BF3D3D"/>
    <w:rsid w:val="00C163AE"/>
    <w:rsid w:val="00C21661"/>
    <w:rsid w:val="00C50D27"/>
    <w:rsid w:val="00C56895"/>
    <w:rsid w:val="00C9100B"/>
    <w:rsid w:val="00CD58C7"/>
    <w:rsid w:val="00CE7423"/>
    <w:rsid w:val="00D92821"/>
    <w:rsid w:val="00E04F4F"/>
    <w:rsid w:val="00E86FAA"/>
    <w:rsid w:val="00EC1994"/>
    <w:rsid w:val="00EC358E"/>
    <w:rsid w:val="00F70C78"/>
    <w:rsid w:val="00FA390E"/>
    <w:rsid w:val="00FA4C2C"/>
    <w:rsid w:val="00FF070D"/>
    <w:rsid w:val="00FF69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7C372"/>
  <w15:docId w15:val="{029A53ED-1E80-4463-A567-70D2D3E2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1D21"/>
    <w:pPr>
      <w:spacing w:after="200" w:line="276" w:lineRule="auto"/>
    </w:pPr>
    <w:rPr>
      <w:rFonts w:ascii="Bahnschrift Light" w:eastAsia="Times New Roman" w:hAnsi="Bahnschrift Light"/>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3">
    <w:name w:val="A3"/>
    <w:qFormat/>
    <w:rsid w:val="0040297C"/>
    <w:rPr>
      <w:rFonts w:cs="Frutiger LT Std"/>
      <w:color w:val="000000"/>
      <w:sz w:val="22"/>
      <w:szCs w:val="22"/>
    </w:rPr>
  </w:style>
  <w:style w:type="character" w:styleId="Kommentarzeichen">
    <w:name w:val="annotation reference"/>
    <w:uiPriority w:val="99"/>
    <w:semiHidden/>
    <w:unhideWhenUsed/>
    <w:qFormat/>
    <w:rsid w:val="00C439F1"/>
    <w:rPr>
      <w:sz w:val="16"/>
      <w:szCs w:val="16"/>
    </w:rPr>
  </w:style>
  <w:style w:type="character" w:customStyle="1" w:styleId="KommentartextZchn">
    <w:name w:val="Kommentartext Zchn"/>
    <w:link w:val="Kommentartext"/>
    <w:uiPriority w:val="99"/>
    <w:semiHidden/>
    <w:qFormat/>
    <w:rsid w:val="00C439F1"/>
    <w:rPr>
      <w:rFonts w:ascii="Calibri" w:eastAsia="Times New Roman" w:hAnsi="Calibri"/>
      <w:lang w:eastAsia="en-US"/>
    </w:rPr>
  </w:style>
  <w:style w:type="character" w:customStyle="1" w:styleId="KommentarthemaZchn">
    <w:name w:val="Kommentarthema Zchn"/>
    <w:link w:val="Kommentarthema"/>
    <w:uiPriority w:val="99"/>
    <w:semiHidden/>
    <w:qFormat/>
    <w:rsid w:val="00C439F1"/>
    <w:rPr>
      <w:rFonts w:ascii="Calibri" w:eastAsia="Times New Roman" w:hAnsi="Calibri"/>
      <w:b/>
      <w:bCs/>
      <w:lang w:eastAsia="en-US"/>
    </w:rPr>
  </w:style>
  <w:style w:type="character" w:customStyle="1" w:styleId="SprechblasentextZchn">
    <w:name w:val="Sprechblasentext Zchn"/>
    <w:link w:val="Sprechblasentext"/>
    <w:uiPriority w:val="99"/>
    <w:semiHidden/>
    <w:qFormat/>
    <w:rsid w:val="00C439F1"/>
    <w:rPr>
      <w:rFonts w:ascii="Tahoma" w:eastAsia="Times New Roman" w:hAnsi="Tahoma" w:cs="Tahoma"/>
      <w:sz w:val="16"/>
      <w:szCs w:val="16"/>
      <w:lang w:eastAsia="en-US"/>
    </w:rPr>
  </w:style>
  <w:style w:type="character" w:customStyle="1" w:styleId="InternetLink">
    <w:name w:val="Internet Link"/>
    <w:basedOn w:val="Absatz-Standardschriftart"/>
    <w:uiPriority w:val="99"/>
    <w:unhideWhenUsed/>
    <w:rsid w:val="006D4234"/>
    <w:rPr>
      <w:color w:val="0000FF" w:themeColor="hyperlink"/>
      <w:u w:val="single"/>
    </w:rPr>
  </w:style>
  <w:style w:type="character" w:customStyle="1" w:styleId="ListLabel1">
    <w:name w:val="ListLabel 1"/>
    <w:qFormat/>
    <w:rPr>
      <w:sz w:val="20"/>
    </w:rPr>
  </w:style>
  <w:style w:type="character" w:customStyle="1" w:styleId="ListLabel2">
    <w:name w:val="ListLabel 2"/>
    <w:qFormat/>
    <w:rPr>
      <w:rFonts w:cs="Times New Roman"/>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rFonts w:cs="Times New Roman"/>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rFonts w:cs="Times New Roman"/>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rFonts w:cs="Times New Roman"/>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rFonts w:cs="Times New Roman"/>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Arial"/>
      <w:sz w:val="20"/>
      <w:szCs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rFonts w:ascii="Times New Roman" w:hAnsi="Times New Roman"/>
      <w:sz w:val="24"/>
      <w:szCs w:val="24"/>
    </w:rPr>
  </w:style>
  <w:style w:type="character" w:customStyle="1" w:styleId="ListLabel66">
    <w:name w:val="ListLabel 66"/>
    <w:qFormat/>
    <w:rPr>
      <w:rFonts w:cs="Symbol"/>
      <w:sz w:val="20"/>
    </w:rPr>
  </w:style>
  <w:style w:type="character" w:customStyle="1" w:styleId="ListLabel67">
    <w:name w:val="ListLabel 67"/>
    <w:qFormat/>
    <w:rPr>
      <w:rFonts w:cs="Courier New"/>
      <w:sz w:val="20"/>
    </w:rPr>
  </w:style>
  <w:style w:type="character" w:customStyle="1" w:styleId="ListLabel68">
    <w:name w:val="ListLabel 68"/>
    <w:qFormat/>
    <w:rPr>
      <w:rFonts w:cs="Wingdings"/>
      <w:sz w:val="20"/>
    </w:rPr>
  </w:style>
  <w:style w:type="character" w:customStyle="1" w:styleId="ListLabel69">
    <w:name w:val="ListLabel 69"/>
    <w:qFormat/>
    <w:rPr>
      <w:rFonts w:cs="Wingdings"/>
      <w:sz w:val="20"/>
    </w:rPr>
  </w:style>
  <w:style w:type="character" w:customStyle="1" w:styleId="ListLabel70">
    <w:name w:val="ListLabel 70"/>
    <w:qFormat/>
    <w:rPr>
      <w:rFonts w:cs="Wingdings"/>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cs="Wingdings"/>
      <w:sz w:val="20"/>
    </w:rPr>
  </w:style>
  <w:style w:type="character" w:customStyle="1" w:styleId="ListLabel75">
    <w:name w:val="ListLabel 75"/>
    <w:qFormat/>
    <w:rPr>
      <w:rFonts w:ascii="Times New Roman" w:hAnsi="Times New Roman"/>
      <w:sz w:val="24"/>
      <w:szCs w:val="24"/>
    </w:rPr>
  </w:style>
  <w:style w:type="character" w:customStyle="1" w:styleId="ListLabel76">
    <w:name w:val="ListLabel 76"/>
    <w:qFormat/>
    <w:rPr>
      <w:rFonts w:cs="Symbol"/>
      <w:sz w:val="20"/>
    </w:rPr>
  </w:style>
  <w:style w:type="character" w:customStyle="1" w:styleId="ListLabel77">
    <w:name w:val="ListLabel 77"/>
    <w:qFormat/>
    <w:rPr>
      <w:rFonts w:cs="Courier New"/>
      <w:sz w:val="20"/>
    </w:rPr>
  </w:style>
  <w:style w:type="character" w:customStyle="1" w:styleId="ListLabel78">
    <w:name w:val="ListLabel 78"/>
    <w:qFormat/>
    <w:rPr>
      <w:rFonts w:cs="Wingdings"/>
      <w:sz w:val="20"/>
    </w:rPr>
  </w:style>
  <w:style w:type="character" w:customStyle="1" w:styleId="ListLabel79">
    <w:name w:val="ListLabel 79"/>
    <w:qFormat/>
    <w:rPr>
      <w:rFonts w:cs="Wingdings"/>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cs="Wingdings"/>
      <w:sz w:val="20"/>
    </w:rPr>
  </w:style>
  <w:style w:type="character" w:customStyle="1" w:styleId="ListLabel83">
    <w:name w:val="ListLabel 83"/>
    <w:qFormat/>
    <w:rPr>
      <w:rFonts w:cs="Wingdings"/>
      <w:sz w:val="20"/>
    </w:rPr>
  </w:style>
  <w:style w:type="character" w:customStyle="1" w:styleId="ListLabel84">
    <w:name w:val="ListLabel 84"/>
    <w:qFormat/>
    <w:rPr>
      <w:rFonts w:cs="Wingdings"/>
      <w:sz w:val="20"/>
    </w:rPr>
  </w:style>
  <w:style w:type="character" w:customStyle="1" w:styleId="ListLabel85">
    <w:name w:val="ListLabel 85"/>
    <w:qFormat/>
    <w:rPr>
      <w:rFonts w:ascii="Times New Roman" w:hAnsi="Times New Roman"/>
      <w:sz w:val="24"/>
      <w:szCs w:val="24"/>
    </w:rPr>
  </w:style>
  <w:style w:type="character" w:customStyle="1" w:styleId="ListLabel86">
    <w:name w:val="ListLabel 86"/>
    <w:qFormat/>
    <w:rPr>
      <w:rFonts w:cs="Symbol"/>
      <w:sz w:val="20"/>
    </w:rPr>
  </w:style>
  <w:style w:type="character" w:customStyle="1" w:styleId="ListLabel87">
    <w:name w:val="ListLabel 87"/>
    <w:qFormat/>
    <w:rPr>
      <w:rFonts w:cs="Courier New"/>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cs="Wingdings"/>
      <w:sz w:val="20"/>
    </w:rPr>
  </w:style>
  <w:style w:type="character" w:customStyle="1" w:styleId="ListLabel92">
    <w:name w:val="ListLabel 92"/>
    <w:qFormat/>
    <w:rPr>
      <w:rFonts w:cs="Wingdings"/>
      <w:sz w:val="20"/>
    </w:rPr>
  </w:style>
  <w:style w:type="character" w:customStyle="1" w:styleId="ListLabel93">
    <w:name w:val="ListLabel 93"/>
    <w:qFormat/>
    <w:rPr>
      <w:rFonts w:cs="Wingdings"/>
      <w:sz w:val="20"/>
    </w:rPr>
  </w:style>
  <w:style w:type="character" w:customStyle="1" w:styleId="ListLabel94">
    <w:name w:val="ListLabel 94"/>
    <w:qFormat/>
    <w:rPr>
      <w:rFonts w:cs="Wingdings"/>
      <w:sz w:val="20"/>
    </w:rPr>
  </w:style>
  <w:style w:type="character" w:customStyle="1" w:styleId="ListLabel95">
    <w:name w:val="ListLabel 95"/>
    <w:qFormat/>
    <w:rPr>
      <w:rFonts w:ascii="Times New Roman" w:hAnsi="Times New Roman"/>
      <w:sz w:val="24"/>
      <w:szCs w:val="24"/>
    </w:rPr>
  </w:style>
  <w:style w:type="character" w:customStyle="1" w:styleId="ListLabel96">
    <w:name w:val="ListLabel 96"/>
    <w:qFormat/>
    <w:rPr>
      <w:rFonts w:cs="Symbol"/>
      <w:sz w:val="20"/>
    </w:rPr>
  </w:style>
  <w:style w:type="character" w:customStyle="1" w:styleId="ListLabel97">
    <w:name w:val="ListLabel 97"/>
    <w:qFormat/>
    <w:rPr>
      <w:rFonts w:cs="Courier New"/>
      <w:sz w:val="20"/>
    </w:rPr>
  </w:style>
  <w:style w:type="character" w:customStyle="1" w:styleId="ListLabel98">
    <w:name w:val="ListLabel 98"/>
    <w:qFormat/>
    <w:rPr>
      <w:rFonts w:cs="Wingdings"/>
      <w:sz w:val="20"/>
    </w:rPr>
  </w:style>
  <w:style w:type="character" w:customStyle="1" w:styleId="ListLabel99">
    <w:name w:val="ListLabel 99"/>
    <w:qFormat/>
    <w:rPr>
      <w:rFonts w:cs="Wingdings"/>
      <w:sz w:val="20"/>
    </w:rPr>
  </w:style>
  <w:style w:type="character" w:customStyle="1" w:styleId="ListLabel100">
    <w:name w:val="ListLabel 100"/>
    <w:qFormat/>
    <w:rPr>
      <w:rFonts w:cs="Wingdings"/>
      <w:sz w:val="20"/>
    </w:rPr>
  </w:style>
  <w:style w:type="character" w:customStyle="1" w:styleId="ListLabel101">
    <w:name w:val="ListLabel 101"/>
    <w:qFormat/>
    <w:rPr>
      <w:rFonts w:cs="Wingdings"/>
      <w:sz w:val="20"/>
    </w:rPr>
  </w:style>
  <w:style w:type="character" w:customStyle="1" w:styleId="ListLabel102">
    <w:name w:val="ListLabel 102"/>
    <w:qFormat/>
    <w:rPr>
      <w:rFonts w:cs="Wingdings"/>
      <w:sz w:val="20"/>
    </w:rPr>
  </w:style>
  <w:style w:type="character" w:customStyle="1" w:styleId="ListLabel103">
    <w:name w:val="ListLabel 103"/>
    <w:qFormat/>
    <w:rPr>
      <w:rFonts w:cs="Wingdings"/>
      <w:sz w:val="20"/>
    </w:rPr>
  </w:style>
  <w:style w:type="character" w:customStyle="1" w:styleId="ListLabel104">
    <w:name w:val="ListLabel 104"/>
    <w:qFormat/>
    <w:rPr>
      <w:rFonts w:cs="Wingdings"/>
      <w:sz w:val="20"/>
    </w:rPr>
  </w:style>
  <w:style w:type="character" w:customStyle="1" w:styleId="ListLabel105">
    <w:name w:val="ListLabel 105"/>
    <w:qFormat/>
    <w:rPr>
      <w:rFonts w:ascii="Times New Roman" w:hAnsi="Times New Roman"/>
      <w:sz w:val="24"/>
      <w:szCs w:val="24"/>
    </w:rPr>
  </w:style>
  <w:style w:type="character" w:customStyle="1" w:styleId="ListLabel106">
    <w:name w:val="ListLabel 106"/>
    <w:qFormat/>
    <w:rPr>
      <w:rFonts w:cs="Symbol"/>
      <w:sz w:val="20"/>
    </w:rPr>
  </w:style>
  <w:style w:type="character" w:customStyle="1" w:styleId="ListLabel107">
    <w:name w:val="ListLabel 107"/>
    <w:qFormat/>
    <w:rPr>
      <w:rFonts w:cs="Courier New"/>
      <w:sz w:val="20"/>
    </w:rPr>
  </w:style>
  <w:style w:type="character" w:customStyle="1" w:styleId="ListLabel108">
    <w:name w:val="ListLabel 108"/>
    <w:qFormat/>
    <w:rPr>
      <w:rFonts w:cs="Wingdings"/>
      <w:sz w:val="20"/>
    </w:rPr>
  </w:style>
  <w:style w:type="character" w:customStyle="1" w:styleId="ListLabel109">
    <w:name w:val="ListLabel 109"/>
    <w:qFormat/>
    <w:rPr>
      <w:rFonts w:cs="Wingdings"/>
      <w:sz w:val="20"/>
    </w:rPr>
  </w:style>
  <w:style w:type="character" w:customStyle="1" w:styleId="ListLabel110">
    <w:name w:val="ListLabel 110"/>
    <w:qFormat/>
    <w:rPr>
      <w:rFonts w:cs="Wingdings"/>
      <w:sz w:val="20"/>
    </w:rPr>
  </w:style>
  <w:style w:type="character" w:customStyle="1" w:styleId="ListLabel111">
    <w:name w:val="ListLabel 111"/>
    <w:qFormat/>
    <w:rPr>
      <w:rFonts w:cs="Wingdings"/>
      <w:sz w:val="20"/>
    </w:rPr>
  </w:style>
  <w:style w:type="character" w:customStyle="1" w:styleId="ListLabel112">
    <w:name w:val="ListLabel 112"/>
    <w:qFormat/>
    <w:rPr>
      <w:rFonts w:cs="Wingdings"/>
      <w:sz w:val="20"/>
    </w:rPr>
  </w:style>
  <w:style w:type="character" w:customStyle="1" w:styleId="ListLabel113">
    <w:name w:val="ListLabel 113"/>
    <w:qFormat/>
    <w:rPr>
      <w:rFonts w:cs="Wingdings"/>
      <w:sz w:val="20"/>
    </w:rPr>
  </w:style>
  <w:style w:type="character" w:customStyle="1" w:styleId="ListLabel114">
    <w:name w:val="ListLabel 114"/>
    <w:qFormat/>
    <w:rPr>
      <w:rFonts w:cs="Wingdings"/>
      <w:sz w:val="20"/>
    </w:rPr>
  </w:style>
  <w:style w:type="character" w:customStyle="1" w:styleId="ListLabel115">
    <w:name w:val="ListLabel 115"/>
    <w:qFormat/>
    <w:rPr>
      <w:rFonts w:ascii="Times New Roman" w:hAnsi="Times New Roman"/>
      <w:sz w:val="24"/>
      <w:szCs w:val="24"/>
    </w:rPr>
  </w:style>
  <w:style w:type="character" w:customStyle="1" w:styleId="NichtaufgelsteErwhnung1">
    <w:name w:val="Nicht aufgelöste Erwähnung1"/>
    <w:basedOn w:val="Absatz-Standardschriftart"/>
    <w:uiPriority w:val="99"/>
    <w:semiHidden/>
    <w:unhideWhenUsed/>
    <w:qFormat/>
    <w:rsid w:val="006D4234"/>
    <w:rPr>
      <w:color w:val="605E5C"/>
      <w:shd w:val="clear" w:color="auto" w:fill="E1DFDD"/>
    </w:rPr>
  </w:style>
  <w:style w:type="character" w:customStyle="1" w:styleId="ListLabel116">
    <w:name w:val="ListLabel 116"/>
    <w:qFormat/>
    <w:rPr>
      <w:rFonts w:cs="Symbol"/>
      <w:sz w:val="20"/>
    </w:rPr>
  </w:style>
  <w:style w:type="character" w:customStyle="1" w:styleId="ListLabel117">
    <w:name w:val="ListLabel 117"/>
    <w:qFormat/>
    <w:rPr>
      <w:rFonts w:cs="Courier New"/>
      <w:sz w:val="20"/>
    </w:rPr>
  </w:style>
  <w:style w:type="character" w:customStyle="1" w:styleId="ListLabel118">
    <w:name w:val="ListLabel 118"/>
    <w:qFormat/>
    <w:rPr>
      <w:rFonts w:cs="Wingdings"/>
      <w:sz w:val="20"/>
    </w:rPr>
  </w:style>
  <w:style w:type="character" w:customStyle="1" w:styleId="ListLabel119">
    <w:name w:val="ListLabel 119"/>
    <w:qFormat/>
    <w:rPr>
      <w:rFonts w:cs="Wingdings"/>
      <w:sz w:val="20"/>
    </w:rPr>
  </w:style>
  <w:style w:type="character" w:customStyle="1" w:styleId="ListLabel120">
    <w:name w:val="ListLabel 120"/>
    <w:qFormat/>
    <w:rPr>
      <w:rFonts w:cs="Wingdings"/>
      <w:sz w:val="20"/>
    </w:rPr>
  </w:style>
  <w:style w:type="character" w:customStyle="1" w:styleId="ListLabel121">
    <w:name w:val="ListLabel 121"/>
    <w:qFormat/>
    <w:rPr>
      <w:rFonts w:cs="Wingdings"/>
      <w:sz w:val="20"/>
    </w:rPr>
  </w:style>
  <w:style w:type="character" w:customStyle="1" w:styleId="ListLabel122">
    <w:name w:val="ListLabel 122"/>
    <w:qFormat/>
    <w:rPr>
      <w:rFonts w:cs="Wingdings"/>
      <w:sz w:val="20"/>
    </w:rPr>
  </w:style>
  <w:style w:type="character" w:customStyle="1" w:styleId="ListLabel123">
    <w:name w:val="ListLabel 123"/>
    <w:qFormat/>
    <w:rPr>
      <w:rFonts w:cs="Wingdings"/>
      <w:sz w:val="20"/>
    </w:rPr>
  </w:style>
  <w:style w:type="character" w:customStyle="1" w:styleId="ListLabel124">
    <w:name w:val="ListLabel 124"/>
    <w:qFormat/>
    <w:rPr>
      <w:rFonts w:cs="Wingdings"/>
      <w:sz w:val="20"/>
    </w:rPr>
  </w:style>
  <w:style w:type="character" w:customStyle="1" w:styleId="ListLabel125">
    <w:name w:val="ListLabel 125"/>
    <w:qFormat/>
    <w:rPr>
      <w:rFonts w:ascii="Times New Roman" w:hAnsi="Times New Roman"/>
      <w:sz w:val="24"/>
      <w:szCs w:val="24"/>
    </w:rPr>
  </w:style>
  <w:style w:type="character" w:customStyle="1" w:styleId="ListLabel126">
    <w:name w:val="ListLabel 126"/>
    <w:qFormat/>
    <w:rPr>
      <w:lang w:eastAsia="de-DE"/>
    </w:rPr>
  </w:style>
  <w:style w:type="character" w:customStyle="1" w:styleId="ListLabel127">
    <w:name w:val="ListLabel 127"/>
    <w:qFormat/>
    <w:rPr>
      <w:rFonts w:cs="Symbol"/>
      <w:sz w:val="20"/>
    </w:rPr>
  </w:style>
  <w:style w:type="character" w:customStyle="1" w:styleId="ListLabel128">
    <w:name w:val="ListLabel 128"/>
    <w:qFormat/>
    <w:rPr>
      <w:rFonts w:cs="Courier New"/>
      <w:sz w:val="20"/>
    </w:rPr>
  </w:style>
  <w:style w:type="character" w:customStyle="1" w:styleId="ListLabel129">
    <w:name w:val="ListLabel 129"/>
    <w:qFormat/>
    <w:rPr>
      <w:rFonts w:cs="Wingdings"/>
      <w:sz w:val="20"/>
    </w:rPr>
  </w:style>
  <w:style w:type="character" w:customStyle="1" w:styleId="ListLabel130">
    <w:name w:val="ListLabel 130"/>
    <w:qFormat/>
    <w:rPr>
      <w:rFonts w:cs="Wingdings"/>
      <w:sz w:val="20"/>
    </w:rPr>
  </w:style>
  <w:style w:type="character" w:customStyle="1" w:styleId="ListLabel131">
    <w:name w:val="ListLabel 131"/>
    <w:qFormat/>
    <w:rPr>
      <w:rFonts w:cs="Wingdings"/>
      <w:sz w:val="20"/>
    </w:rPr>
  </w:style>
  <w:style w:type="character" w:customStyle="1" w:styleId="ListLabel132">
    <w:name w:val="ListLabel 132"/>
    <w:qFormat/>
    <w:rPr>
      <w:rFonts w:cs="Wingdings"/>
      <w:sz w:val="20"/>
    </w:rPr>
  </w:style>
  <w:style w:type="character" w:customStyle="1" w:styleId="ListLabel133">
    <w:name w:val="ListLabel 133"/>
    <w:qFormat/>
    <w:rPr>
      <w:rFonts w:cs="Wingdings"/>
      <w:sz w:val="20"/>
    </w:rPr>
  </w:style>
  <w:style w:type="character" w:customStyle="1" w:styleId="ListLabel134">
    <w:name w:val="ListLabel 134"/>
    <w:qFormat/>
    <w:rPr>
      <w:rFonts w:cs="Wingdings"/>
      <w:sz w:val="20"/>
    </w:rPr>
  </w:style>
  <w:style w:type="character" w:customStyle="1" w:styleId="ListLabel135">
    <w:name w:val="ListLabel 135"/>
    <w:qFormat/>
    <w:rPr>
      <w:rFonts w:cs="Wingdings"/>
      <w:sz w:val="20"/>
    </w:rPr>
  </w:style>
  <w:style w:type="character" w:customStyle="1" w:styleId="ListLabel136">
    <w:name w:val="ListLabel 136"/>
    <w:qFormat/>
    <w:rPr>
      <w:rFonts w:ascii="Times New Roman" w:hAnsi="Times New Roman"/>
      <w:sz w:val="24"/>
      <w:szCs w:val="24"/>
    </w:rPr>
  </w:style>
  <w:style w:type="character" w:customStyle="1" w:styleId="ListLabel137">
    <w:name w:val="ListLabel 137"/>
    <w:qFormat/>
    <w:rPr>
      <w:lang w:eastAsia="de-DE"/>
    </w:rPr>
  </w:style>
  <w:style w:type="paragraph" w:customStyle="1" w:styleId="Heading">
    <w:name w:val="Heading"/>
    <w:basedOn w:val="Standard"/>
    <w:next w:val="Textkrper"/>
    <w:qFormat/>
    <w:pPr>
      <w:keepNext/>
      <w:spacing w:before="240" w:after="120"/>
    </w:pPr>
    <w:rPr>
      <w:rFonts w:ascii="Liberation Sans" w:eastAsia="AR PL KaitiM GB" w:hAnsi="Liberation Sans" w:cs="FreeSans"/>
      <w:sz w:val="28"/>
      <w:szCs w:val="28"/>
    </w:rPr>
  </w:style>
  <w:style w:type="paragraph" w:styleId="Textkrper">
    <w:name w:val="Body Text"/>
    <w:basedOn w:val="Standard"/>
    <w:pPr>
      <w:spacing w:after="140"/>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Index">
    <w:name w:val="Index"/>
    <w:basedOn w:val="Standard"/>
    <w:qFormat/>
    <w:pPr>
      <w:suppressLineNumbers/>
    </w:pPr>
    <w:rPr>
      <w:rFonts w:cs="FreeSans"/>
    </w:rPr>
  </w:style>
  <w:style w:type="paragraph" w:styleId="Kopfzeile">
    <w:name w:val="header"/>
    <w:basedOn w:val="Standard"/>
    <w:rsid w:val="002C6204"/>
    <w:pPr>
      <w:tabs>
        <w:tab w:val="center" w:pos="4320"/>
        <w:tab w:val="right" w:pos="8640"/>
      </w:tabs>
    </w:pPr>
  </w:style>
  <w:style w:type="paragraph" w:styleId="Fuzeile">
    <w:name w:val="footer"/>
    <w:basedOn w:val="Standard"/>
    <w:rsid w:val="002C6204"/>
    <w:pPr>
      <w:tabs>
        <w:tab w:val="center" w:pos="4320"/>
        <w:tab w:val="right" w:pos="8640"/>
      </w:tabs>
    </w:pPr>
  </w:style>
  <w:style w:type="paragraph" w:styleId="Kommentartext">
    <w:name w:val="annotation text"/>
    <w:basedOn w:val="Standard"/>
    <w:link w:val="KommentartextZchn"/>
    <w:uiPriority w:val="99"/>
    <w:semiHidden/>
    <w:unhideWhenUsed/>
    <w:qFormat/>
    <w:rsid w:val="00C439F1"/>
    <w:rPr>
      <w:sz w:val="20"/>
      <w:szCs w:val="20"/>
    </w:rPr>
  </w:style>
  <w:style w:type="paragraph" w:styleId="Kommentarthema">
    <w:name w:val="annotation subject"/>
    <w:basedOn w:val="Kommentartext"/>
    <w:next w:val="Kommentartext"/>
    <w:link w:val="KommentarthemaZchn"/>
    <w:uiPriority w:val="99"/>
    <w:semiHidden/>
    <w:unhideWhenUsed/>
    <w:qFormat/>
    <w:rsid w:val="00C439F1"/>
    <w:rPr>
      <w:b/>
      <w:bCs/>
    </w:rPr>
  </w:style>
  <w:style w:type="paragraph" w:styleId="Sprechblasentext">
    <w:name w:val="Balloon Text"/>
    <w:basedOn w:val="Standard"/>
    <w:link w:val="SprechblasentextZchn"/>
    <w:uiPriority w:val="99"/>
    <w:semiHidden/>
    <w:unhideWhenUsed/>
    <w:qFormat/>
    <w:rsid w:val="00C439F1"/>
    <w:pPr>
      <w:spacing w:after="0" w:line="240" w:lineRule="auto"/>
    </w:pPr>
    <w:rPr>
      <w:rFonts w:ascii="Tahoma" w:hAnsi="Tahoma" w:cs="Tahoma"/>
      <w:sz w:val="16"/>
      <w:szCs w:val="16"/>
    </w:rPr>
  </w:style>
  <w:style w:type="paragraph" w:styleId="StandardWeb">
    <w:name w:val="Normal (Web)"/>
    <w:basedOn w:val="Standard"/>
    <w:uiPriority w:val="99"/>
    <w:semiHidden/>
    <w:unhideWhenUsed/>
    <w:qFormat/>
    <w:rsid w:val="00222298"/>
    <w:pPr>
      <w:spacing w:beforeAutospacing="1" w:after="144"/>
    </w:pPr>
    <w:rPr>
      <w:rFonts w:ascii="Times New Roman" w:hAnsi="Times New Roman"/>
      <w:color w:val="000000"/>
      <w:sz w:val="24"/>
      <w:szCs w:val="24"/>
      <w:lang w:val="es-ES" w:eastAsia="es-ES"/>
    </w:rPr>
  </w:style>
  <w:style w:type="paragraph" w:customStyle="1" w:styleId="western">
    <w:name w:val="western"/>
    <w:basedOn w:val="Standard"/>
    <w:qFormat/>
    <w:rsid w:val="00222298"/>
    <w:pPr>
      <w:spacing w:beforeAutospacing="1" w:after="144"/>
    </w:pPr>
    <w:rPr>
      <w:rFonts w:ascii="Calibri" w:hAnsi="Calibri"/>
      <w:color w:val="000000"/>
      <w:lang w:val="es-ES" w:eastAsia="es-ES"/>
    </w:rPr>
  </w:style>
  <w:style w:type="paragraph" w:customStyle="1" w:styleId="DocumentMap">
    <w:name w:val="DocumentMap"/>
    <w:qFormat/>
  </w:style>
  <w:style w:type="table" w:styleId="Tabellenraster">
    <w:name w:val="Table Grid"/>
    <w:basedOn w:val="NormaleTabelle"/>
    <w:rsid w:val="00AE5D3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81CBA"/>
    <w:rPr>
      <w:color w:val="0000FF"/>
      <w:u w:val="single"/>
    </w:rPr>
  </w:style>
  <w:style w:type="character" w:customStyle="1" w:styleId="NichtaufgelsteErwhnung2">
    <w:name w:val="Nicht aufgelöste Erwähnung2"/>
    <w:basedOn w:val="Absatz-Standardschriftart"/>
    <w:uiPriority w:val="99"/>
    <w:semiHidden/>
    <w:unhideWhenUsed/>
    <w:rsid w:val="00B46DDF"/>
    <w:rPr>
      <w:color w:val="605E5C"/>
      <w:shd w:val="clear" w:color="auto" w:fill="E1DFDD"/>
    </w:rPr>
  </w:style>
  <w:style w:type="character" w:customStyle="1" w:styleId="mbtext">
    <w:name w:val="mb_text"/>
    <w:basedOn w:val="Absatz-Standardschriftart"/>
    <w:rsid w:val="0097687C"/>
  </w:style>
  <w:style w:type="character" w:styleId="NichtaufgelsteErwhnung">
    <w:name w:val="Unresolved Mention"/>
    <w:basedOn w:val="Absatz-Standardschriftart"/>
    <w:uiPriority w:val="99"/>
    <w:semiHidden/>
    <w:unhideWhenUsed/>
    <w:rsid w:val="00B01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439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liathwatch.de/facebooksperre/" TargetMode="External"/><Relationship Id="rId3" Type="http://schemas.openxmlformats.org/officeDocument/2006/relationships/settings" Target="settings.xml"/><Relationship Id="rId7" Type="http://schemas.openxmlformats.org/officeDocument/2006/relationships/hyperlink" Target="https://taz.de/!58353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liathwatch.de/presse/presseinfo/"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3507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PR-Buero</dc:creator>
  <cp:lastModifiedBy>Thomas Dürmeier</cp:lastModifiedBy>
  <cp:revision>37</cp:revision>
  <cp:lastPrinted>2022-02-22T13:11:00Z</cp:lastPrinted>
  <dcterms:created xsi:type="dcterms:W3CDTF">2021-04-26T14:01:00Z</dcterms:created>
  <dcterms:modified xsi:type="dcterms:W3CDTF">2022-03-01T10:15:00Z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